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3A0C" w14:textId="77777777" w:rsidR="002E3AFC" w:rsidRPr="002E3AFC" w:rsidRDefault="002E3AFC" w:rsidP="002E3AFC">
      <w:pPr>
        <w:rPr>
          <w:b/>
          <w:bCs/>
        </w:rPr>
      </w:pPr>
      <w:r w:rsidRPr="002E3AFC">
        <w:rPr>
          <w:b/>
          <w:bCs/>
        </w:rPr>
        <w:t>健全化判断比率及び資金不足比率</w:t>
      </w:r>
    </w:p>
    <w:p w14:paraId="45E46850" w14:textId="77777777" w:rsidR="002E3AFC" w:rsidRDefault="002E3AFC" w:rsidP="002E3AFC"/>
    <w:p w14:paraId="5F54A3D1" w14:textId="6DBC4A99" w:rsidR="002B1953" w:rsidRDefault="00BC12DA" w:rsidP="00BC12DA">
      <w:pPr>
        <w:ind w:firstLineChars="100" w:firstLine="210"/>
      </w:pPr>
      <w:r w:rsidRPr="00BC12DA">
        <w:rPr>
          <w:rFonts w:hint="eastAsia"/>
        </w:rPr>
        <w:t>地方公共団体の財政破たんを未然に防止することを目的として制定された「地方公共団体の財政の健全化に関する法律」に基づき、</w:t>
      </w:r>
      <w:r w:rsidR="002B1953" w:rsidRPr="00AF3E20">
        <w:t>健全化判断比率および資金不足比率を算出いたしましたので、公表いたします。</w:t>
      </w:r>
    </w:p>
    <w:p w14:paraId="4D1D7499" w14:textId="77777777" w:rsidR="002B1953" w:rsidRPr="002B1953" w:rsidRDefault="002B1953" w:rsidP="002B1953"/>
    <w:p w14:paraId="57319C27" w14:textId="2C19E668" w:rsidR="002B1953" w:rsidRDefault="002B1953" w:rsidP="002E3AFC">
      <w:pPr>
        <w:rPr>
          <w:b/>
          <w:bCs/>
        </w:rPr>
      </w:pPr>
      <w:r w:rsidRPr="002E3AFC">
        <w:rPr>
          <w:b/>
          <w:bCs/>
        </w:rPr>
        <w:t>健全化判断比率</w:t>
      </w:r>
    </w:p>
    <w:tbl>
      <w:tblPr>
        <w:tblStyle w:val="ac"/>
        <w:tblW w:w="0" w:type="auto"/>
        <w:tblLook w:val="04A0" w:firstRow="1" w:lastRow="0" w:firstColumn="1" w:lastColumn="0" w:noHBand="0" w:noVBand="1"/>
      </w:tblPr>
      <w:tblGrid>
        <w:gridCol w:w="1717"/>
        <w:gridCol w:w="1718"/>
        <w:gridCol w:w="1719"/>
        <w:gridCol w:w="1670"/>
        <w:gridCol w:w="1670"/>
      </w:tblGrid>
      <w:tr w:rsidR="00BC12DA" w14:paraId="40949EBB" w14:textId="667FBB63" w:rsidTr="00BC12DA">
        <w:tc>
          <w:tcPr>
            <w:tcW w:w="1717" w:type="dxa"/>
          </w:tcPr>
          <w:p w14:paraId="726763E8" w14:textId="5C3F98D6" w:rsidR="00BC12DA" w:rsidRDefault="00BC12DA" w:rsidP="002E3AFC">
            <w:pPr>
              <w:rPr>
                <w:b/>
                <w:bCs/>
              </w:rPr>
            </w:pPr>
            <w:r>
              <w:rPr>
                <w:rFonts w:hint="eastAsia"/>
                <w:b/>
                <w:bCs/>
              </w:rPr>
              <w:t>年度</w:t>
            </w:r>
          </w:p>
        </w:tc>
        <w:tc>
          <w:tcPr>
            <w:tcW w:w="1718" w:type="dxa"/>
          </w:tcPr>
          <w:p w14:paraId="0370C155" w14:textId="400E7A9C" w:rsidR="00BC12DA" w:rsidRPr="00BC12DA" w:rsidRDefault="00BC12DA" w:rsidP="002E3AFC">
            <w:pPr>
              <w:rPr>
                <w:b/>
                <w:bCs/>
                <w:sz w:val="16"/>
                <w:szCs w:val="16"/>
              </w:rPr>
            </w:pPr>
            <w:r w:rsidRPr="00BC12DA">
              <w:rPr>
                <w:rFonts w:hint="eastAsia"/>
                <w:b/>
                <w:bCs/>
                <w:sz w:val="16"/>
                <w:szCs w:val="16"/>
              </w:rPr>
              <w:t>実質赤字比率</w:t>
            </w:r>
          </w:p>
        </w:tc>
        <w:tc>
          <w:tcPr>
            <w:tcW w:w="1719" w:type="dxa"/>
          </w:tcPr>
          <w:p w14:paraId="17B58BB6" w14:textId="327B97CB" w:rsidR="00BC12DA" w:rsidRPr="00BC12DA" w:rsidRDefault="00BC12DA" w:rsidP="002E3AFC">
            <w:pPr>
              <w:rPr>
                <w:b/>
                <w:bCs/>
                <w:sz w:val="16"/>
                <w:szCs w:val="16"/>
              </w:rPr>
            </w:pPr>
            <w:r w:rsidRPr="00BC12DA">
              <w:rPr>
                <w:rFonts w:hint="eastAsia"/>
                <w:b/>
                <w:bCs/>
                <w:sz w:val="16"/>
                <w:szCs w:val="16"/>
              </w:rPr>
              <w:t>連結実質赤字比率</w:t>
            </w:r>
          </w:p>
        </w:tc>
        <w:tc>
          <w:tcPr>
            <w:tcW w:w="1670" w:type="dxa"/>
          </w:tcPr>
          <w:p w14:paraId="2ABD7094" w14:textId="64F7A981" w:rsidR="00BC12DA" w:rsidRPr="00BC12DA" w:rsidRDefault="00BC12DA" w:rsidP="002E3AFC">
            <w:pPr>
              <w:rPr>
                <w:b/>
                <w:bCs/>
                <w:sz w:val="16"/>
                <w:szCs w:val="16"/>
              </w:rPr>
            </w:pPr>
            <w:r w:rsidRPr="00BC12DA">
              <w:rPr>
                <w:rFonts w:hint="eastAsia"/>
                <w:b/>
                <w:bCs/>
                <w:sz w:val="16"/>
                <w:szCs w:val="16"/>
              </w:rPr>
              <w:t>実質公債費比率</w:t>
            </w:r>
          </w:p>
        </w:tc>
        <w:tc>
          <w:tcPr>
            <w:tcW w:w="1670" w:type="dxa"/>
          </w:tcPr>
          <w:p w14:paraId="4D44B249" w14:textId="5A6E8032" w:rsidR="00BC12DA" w:rsidRPr="00BC12DA" w:rsidRDefault="00BC12DA" w:rsidP="002E3AFC">
            <w:pPr>
              <w:rPr>
                <w:b/>
                <w:bCs/>
                <w:sz w:val="16"/>
                <w:szCs w:val="16"/>
              </w:rPr>
            </w:pPr>
            <w:r w:rsidRPr="00BC12DA">
              <w:rPr>
                <w:rFonts w:hint="eastAsia"/>
                <w:b/>
                <w:bCs/>
                <w:sz w:val="16"/>
                <w:szCs w:val="16"/>
              </w:rPr>
              <w:t>将来負担比率</w:t>
            </w:r>
          </w:p>
        </w:tc>
      </w:tr>
      <w:tr w:rsidR="00BE095F" w14:paraId="1ACB5D94" w14:textId="77777777" w:rsidTr="00BC12DA">
        <w:tc>
          <w:tcPr>
            <w:tcW w:w="1717" w:type="dxa"/>
          </w:tcPr>
          <w:p w14:paraId="66248765" w14:textId="46B9F059" w:rsidR="00BE095F" w:rsidRDefault="00BE095F" w:rsidP="00BE095F">
            <w:pPr>
              <w:rPr>
                <w:rFonts w:hint="eastAsia"/>
                <w:b/>
                <w:bCs/>
              </w:rPr>
            </w:pPr>
            <w:r>
              <w:rPr>
                <w:rFonts w:hint="eastAsia"/>
                <w:b/>
                <w:bCs/>
              </w:rPr>
              <w:t>令和</w:t>
            </w:r>
            <w:r>
              <w:rPr>
                <w:rFonts w:hint="eastAsia"/>
                <w:b/>
                <w:bCs/>
              </w:rPr>
              <w:t>６</w:t>
            </w:r>
            <w:r>
              <w:rPr>
                <w:rFonts w:hint="eastAsia"/>
                <w:b/>
                <w:bCs/>
              </w:rPr>
              <w:t>年度</w:t>
            </w:r>
          </w:p>
        </w:tc>
        <w:tc>
          <w:tcPr>
            <w:tcW w:w="1718" w:type="dxa"/>
          </w:tcPr>
          <w:p w14:paraId="226B170B" w14:textId="335E45A3" w:rsidR="00BE095F" w:rsidRPr="00BC12DA" w:rsidRDefault="00BE095F" w:rsidP="00BE095F">
            <w:pPr>
              <w:jc w:val="center"/>
              <w:rPr>
                <w:rFonts w:hint="eastAsia"/>
                <w:b/>
                <w:bCs/>
                <w:sz w:val="16"/>
                <w:szCs w:val="16"/>
              </w:rPr>
            </w:pPr>
            <w:r>
              <w:rPr>
                <w:rFonts w:hint="eastAsia"/>
                <w:b/>
                <w:bCs/>
              </w:rPr>
              <w:t>-</w:t>
            </w:r>
          </w:p>
        </w:tc>
        <w:tc>
          <w:tcPr>
            <w:tcW w:w="1719" w:type="dxa"/>
          </w:tcPr>
          <w:p w14:paraId="015FC350" w14:textId="42A23B5B" w:rsidR="00BE095F" w:rsidRPr="00BC12DA" w:rsidRDefault="00BE095F" w:rsidP="00BE095F">
            <w:pPr>
              <w:jc w:val="center"/>
              <w:rPr>
                <w:rFonts w:hint="eastAsia"/>
                <w:b/>
                <w:bCs/>
                <w:sz w:val="16"/>
                <w:szCs w:val="16"/>
              </w:rPr>
            </w:pPr>
            <w:r>
              <w:rPr>
                <w:rFonts w:hint="eastAsia"/>
                <w:b/>
                <w:bCs/>
              </w:rPr>
              <w:t>-</w:t>
            </w:r>
          </w:p>
        </w:tc>
        <w:tc>
          <w:tcPr>
            <w:tcW w:w="1670" w:type="dxa"/>
          </w:tcPr>
          <w:p w14:paraId="51D47E06" w14:textId="5DCBC951" w:rsidR="00BE095F" w:rsidRPr="00BC12DA" w:rsidRDefault="00BE095F" w:rsidP="00BE095F">
            <w:pPr>
              <w:jc w:val="center"/>
              <w:rPr>
                <w:rFonts w:hint="eastAsia"/>
                <w:b/>
                <w:bCs/>
                <w:sz w:val="16"/>
                <w:szCs w:val="16"/>
              </w:rPr>
            </w:pPr>
            <w:r>
              <w:rPr>
                <w:rFonts w:hint="eastAsia"/>
                <w:b/>
                <w:bCs/>
              </w:rPr>
              <w:t>-</w:t>
            </w:r>
            <w:r>
              <w:rPr>
                <w:rFonts w:hint="eastAsia"/>
                <w:b/>
                <w:bCs/>
              </w:rPr>
              <w:t>2.6</w:t>
            </w:r>
          </w:p>
        </w:tc>
        <w:tc>
          <w:tcPr>
            <w:tcW w:w="1670" w:type="dxa"/>
          </w:tcPr>
          <w:p w14:paraId="5FF37B3B" w14:textId="7F6799BD" w:rsidR="00BE095F" w:rsidRPr="00BC12DA" w:rsidRDefault="00BE095F" w:rsidP="00BE095F">
            <w:pPr>
              <w:jc w:val="center"/>
              <w:rPr>
                <w:rFonts w:hint="eastAsia"/>
                <w:b/>
                <w:bCs/>
                <w:sz w:val="16"/>
                <w:szCs w:val="16"/>
              </w:rPr>
            </w:pPr>
            <w:r>
              <w:rPr>
                <w:rFonts w:hint="eastAsia"/>
                <w:b/>
                <w:bCs/>
              </w:rPr>
              <w:t>-</w:t>
            </w:r>
          </w:p>
        </w:tc>
      </w:tr>
      <w:tr w:rsidR="00BC12DA" w14:paraId="1F9AFE91" w14:textId="5F7874E2" w:rsidTr="00BC12DA">
        <w:tc>
          <w:tcPr>
            <w:tcW w:w="1717" w:type="dxa"/>
          </w:tcPr>
          <w:p w14:paraId="209A31EB" w14:textId="2A3D1CF8" w:rsidR="00BC12DA" w:rsidRDefault="00BC12DA" w:rsidP="00BC12DA">
            <w:pPr>
              <w:rPr>
                <w:b/>
                <w:bCs/>
              </w:rPr>
            </w:pPr>
            <w:r>
              <w:rPr>
                <w:rFonts w:hint="eastAsia"/>
                <w:b/>
                <w:bCs/>
              </w:rPr>
              <w:t>令和５年度</w:t>
            </w:r>
          </w:p>
        </w:tc>
        <w:tc>
          <w:tcPr>
            <w:tcW w:w="1718" w:type="dxa"/>
          </w:tcPr>
          <w:p w14:paraId="5679D0DF" w14:textId="675CDDAD" w:rsidR="00BC12DA" w:rsidRDefault="00BC12DA" w:rsidP="00BC12DA">
            <w:pPr>
              <w:jc w:val="center"/>
              <w:rPr>
                <w:b/>
                <w:bCs/>
              </w:rPr>
            </w:pPr>
            <w:r>
              <w:rPr>
                <w:rFonts w:hint="eastAsia"/>
                <w:b/>
                <w:bCs/>
              </w:rPr>
              <w:t>-</w:t>
            </w:r>
          </w:p>
        </w:tc>
        <w:tc>
          <w:tcPr>
            <w:tcW w:w="1719" w:type="dxa"/>
          </w:tcPr>
          <w:p w14:paraId="1A4EE650" w14:textId="202E69AE" w:rsidR="00BC12DA" w:rsidRDefault="00BC12DA" w:rsidP="00BC12DA">
            <w:pPr>
              <w:jc w:val="center"/>
              <w:rPr>
                <w:b/>
                <w:bCs/>
              </w:rPr>
            </w:pPr>
            <w:r>
              <w:rPr>
                <w:rFonts w:hint="eastAsia"/>
                <w:b/>
                <w:bCs/>
              </w:rPr>
              <w:t>-</w:t>
            </w:r>
          </w:p>
        </w:tc>
        <w:tc>
          <w:tcPr>
            <w:tcW w:w="1670" w:type="dxa"/>
          </w:tcPr>
          <w:p w14:paraId="5FE642BC" w14:textId="77BABBA8" w:rsidR="00BC12DA" w:rsidRDefault="00BC12DA" w:rsidP="00BC12DA">
            <w:pPr>
              <w:jc w:val="center"/>
              <w:rPr>
                <w:b/>
                <w:bCs/>
              </w:rPr>
            </w:pPr>
            <w:r>
              <w:rPr>
                <w:rFonts w:hint="eastAsia"/>
                <w:b/>
                <w:bCs/>
              </w:rPr>
              <w:t>-3.3</w:t>
            </w:r>
          </w:p>
        </w:tc>
        <w:tc>
          <w:tcPr>
            <w:tcW w:w="1670" w:type="dxa"/>
          </w:tcPr>
          <w:p w14:paraId="2B28DE31" w14:textId="52B43A3A" w:rsidR="00BC12DA" w:rsidRDefault="00BC12DA" w:rsidP="00BC12DA">
            <w:pPr>
              <w:jc w:val="center"/>
              <w:rPr>
                <w:b/>
                <w:bCs/>
              </w:rPr>
            </w:pPr>
            <w:r>
              <w:rPr>
                <w:rFonts w:hint="eastAsia"/>
                <w:b/>
                <w:bCs/>
              </w:rPr>
              <w:t>-</w:t>
            </w:r>
          </w:p>
        </w:tc>
      </w:tr>
      <w:tr w:rsidR="00BC12DA" w14:paraId="7E5B4C5E" w14:textId="59E0BA57" w:rsidTr="00BC12DA">
        <w:tc>
          <w:tcPr>
            <w:tcW w:w="1717" w:type="dxa"/>
          </w:tcPr>
          <w:p w14:paraId="1824B31B" w14:textId="28C60BA3" w:rsidR="00BC12DA" w:rsidRDefault="00BC12DA" w:rsidP="00BC12DA">
            <w:pPr>
              <w:rPr>
                <w:b/>
                <w:bCs/>
              </w:rPr>
            </w:pPr>
            <w:r>
              <w:rPr>
                <w:rFonts w:hint="eastAsia"/>
                <w:b/>
                <w:bCs/>
              </w:rPr>
              <w:t>令和４年度</w:t>
            </w:r>
          </w:p>
        </w:tc>
        <w:tc>
          <w:tcPr>
            <w:tcW w:w="1718" w:type="dxa"/>
          </w:tcPr>
          <w:p w14:paraId="52F7CFA6" w14:textId="4A654833" w:rsidR="00BC12DA" w:rsidRDefault="00BC12DA" w:rsidP="00BC12DA">
            <w:pPr>
              <w:jc w:val="center"/>
              <w:rPr>
                <w:b/>
                <w:bCs/>
              </w:rPr>
            </w:pPr>
            <w:r>
              <w:rPr>
                <w:rFonts w:hint="eastAsia"/>
                <w:b/>
                <w:bCs/>
              </w:rPr>
              <w:t>-</w:t>
            </w:r>
          </w:p>
        </w:tc>
        <w:tc>
          <w:tcPr>
            <w:tcW w:w="1719" w:type="dxa"/>
          </w:tcPr>
          <w:p w14:paraId="07E60008" w14:textId="2F98EC4A" w:rsidR="00BC12DA" w:rsidRDefault="00BC12DA" w:rsidP="00BC12DA">
            <w:pPr>
              <w:jc w:val="center"/>
              <w:rPr>
                <w:b/>
                <w:bCs/>
              </w:rPr>
            </w:pPr>
            <w:r>
              <w:rPr>
                <w:rFonts w:hint="eastAsia"/>
                <w:b/>
                <w:bCs/>
              </w:rPr>
              <w:t>-</w:t>
            </w:r>
          </w:p>
        </w:tc>
        <w:tc>
          <w:tcPr>
            <w:tcW w:w="1670" w:type="dxa"/>
          </w:tcPr>
          <w:p w14:paraId="1D9BD587" w14:textId="358BFC29" w:rsidR="00BC12DA" w:rsidRDefault="00BC12DA" w:rsidP="00BC12DA">
            <w:pPr>
              <w:jc w:val="center"/>
              <w:rPr>
                <w:b/>
                <w:bCs/>
              </w:rPr>
            </w:pPr>
            <w:r>
              <w:rPr>
                <w:rFonts w:hint="eastAsia"/>
                <w:b/>
                <w:bCs/>
              </w:rPr>
              <w:t>-3.6</w:t>
            </w:r>
          </w:p>
        </w:tc>
        <w:tc>
          <w:tcPr>
            <w:tcW w:w="1670" w:type="dxa"/>
          </w:tcPr>
          <w:p w14:paraId="1D5992D2" w14:textId="672AAC7E" w:rsidR="00BC12DA" w:rsidRDefault="00BC12DA" w:rsidP="00BC12DA">
            <w:pPr>
              <w:jc w:val="center"/>
              <w:rPr>
                <w:b/>
                <w:bCs/>
              </w:rPr>
            </w:pPr>
            <w:r>
              <w:rPr>
                <w:rFonts w:hint="eastAsia"/>
                <w:b/>
                <w:bCs/>
              </w:rPr>
              <w:t>-</w:t>
            </w:r>
          </w:p>
        </w:tc>
      </w:tr>
      <w:tr w:rsidR="00BC12DA" w14:paraId="56E94510" w14:textId="10623565" w:rsidTr="00BC12DA">
        <w:tc>
          <w:tcPr>
            <w:tcW w:w="1717" w:type="dxa"/>
          </w:tcPr>
          <w:p w14:paraId="0F8DB86C" w14:textId="6ABFC0E0" w:rsidR="00BC12DA" w:rsidRDefault="00BC12DA" w:rsidP="00BC12DA">
            <w:pPr>
              <w:rPr>
                <w:b/>
                <w:bCs/>
              </w:rPr>
            </w:pPr>
            <w:r>
              <w:rPr>
                <w:rFonts w:hint="eastAsia"/>
                <w:b/>
                <w:bCs/>
              </w:rPr>
              <w:t>令和３年度</w:t>
            </w:r>
          </w:p>
        </w:tc>
        <w:tc>
          <w:tcPr>
            <w:tcW w:w="1718" w:type="dxa"/>
          </w:tcPr>
          <w:p w14:paraId="4AE8CDE4" w14:textId="6B772FB4" w:rsidR="00BC12DA" w:rsidRDefault="00BC12DA" w:rsidP="00BC12DA">
            <w:pPr>
              <w:jc w:val="center"/>
              <w:rPr>
                <w:b/>
                <w:bCs/>
              </w:rPr>
            </w:pPr>
            <w:r>
              <w:rPr>
                <w:rFonts w:hint="eastAsia"/>
                <w:b/>
                <w:bCs/>
              </w:rPr>
              <w:t>-</w:t>
            </w:r>
          </w:p>
        </w:tc>
        <w:tc>
          <w:tcPr>
            <w:tcW w:w="1719" w:type="dxa"/>
          </w:tcPr>
          <w:p w14:paraId="602F88AE" w14:textId="18AD8F94" w:rsidR="00BC12DA" w:rsidRDefault="00BC12DA" w:rsidP="00BC12DA">
            <w:pPr>
              <w:jc w:val="center"/>
              <w:rPr>
                <w:b/>
                <w:bCs/>
              </w:rPr>
            </w:pPr>
            <w:r>
              <w:rPr>
                <w:rFonts w:hint="eastAsia"/>
                <w:b/>
                <w:bCs/>
              </w:rPr>
              <w:t>-</w:t>
            </w:r>
          </w:p>
        </w:tc>
        <w:tc>
          <w:tcPr>
            <w:tcW w:w="1670" w:type="dxa"/>
          </w:tcPr>
          <w:p w14:paraId="1A9B67C9" w14:textId="59C57F8E" w:rsidR="00BC12DA" w:rsidRDefault="00BC12DA" w:rsidP="00BC12DA">
            <w:pPr>
              <w:jc w:val="center"/>
              <w:rPr>
                <w:b/>
                <w:bCs/>
              </w:rPr>
            </w:pPr>
            <w:r>
              <w:rPr>
                <w:rFonts w:hint="eastAsia"/>
                <w:b/>
                <w:bCs/>
              </w:rPr>
              <w:t>-3.2</w:t>
            </w:r>
          </w:p>
        </w:tc>
        <w:tc>
          <w:tcPr>
            <w:tcW w:w="1670" w:type="dxa"/>
          </w:tcPr>
          <w:p w14:paraId="22A71286" w14:textId="6B284D6A" w:rsidR="00BC12DA" w:rsidRDefault="00BC12DA" w:rsidP="00BC12DA">
            <w:pPr>
              <w:jc w:val="center"/>
              <w:rPr>
                <w:b/>
                <w:bCs/>
              </w:rPr>
            </w:pPr>
            <w:r>
              <w:rPr>
                <w:rFonts w:hint="eastAsia"/>
                <w:b/>
                <w:bCs/>
              </w:rPr>
              <w:t>-</w:t>
            </w:r>
          </w:p>
        </w:tc>
      </w:tr>
    </w:tbl>
    <w:p w14:paraId="32ECDCFF" w14:textId="77777777" w:rsidR="002E3AFC" w:rsidRDefault="002E3AFC" w:rsidP="002E3AFC">
      <w:pPr>
        <w:rPr>
          <w:b/>
          <w:bCs/>
          <w:sz w:val="16"/>
          <w:szCs w:val="16"/>
        </w:rPr>
      </w:pPr>
      <w:r w:rsidRPr="00BC12DA">
        <w:rPr>
          <w:b/>
          <w:bCs/>
          <w:sz w:val="16"/>
          <w:szCs w:val="16"/>
        </w:rPr>
        <w:t>(注意)実質赤字比率と連結実質赤字比率は赤字額がない場合、将来負担比率は将来負担額が生じていない場合、「－」と表示してあります。</w:t>
      </w:r>
    </w:p>
    <w:p w14:paraId="5624A87B" w14:textId="77777777" w:rsidR="00BC12DA" w:rsidRDefault="00BC12DA" w:rsidP="002E3AFC">
      <w:pPr>
        <w:rPr>
          <w:sz w:val="16"/>
          <w:szCs w:val="16"/>
        </w:rPr>
      </w:pPr>
    </w:p>
    <w:p w14:paraId="6134C332" w14:textId="4BE016BA" w:rsidR="00BC12DA" w:rsidRDefault="00BC12DA" w:rsidP="002E3AFC">
      <w:pPr>
        <w:rPr>
          <w:sz w:val="16"/>
          <w:szCs w:val="16"/>
        </w:rPr>
      </w:pPr>
      <w:r w:rsidRPr="00AF3E20">
        <w:t>1. 実質赤字比率</w:t>
      </w:r>
      <w:r w:rsidRPr="00AF3E20">
        <w:br/>
        <w:t xml:space="preserve">　一般会計等を対象とした実質赤字の標準財政規模に対する比率　</w:t>
      </w:r>
      <w:r w:rsidRPr="00AF3E20">
        <w:br/>
        <w:t>2. 連結実質赤字比率</w:t>
      </w:r>
      <w:r w:rsidRPr="00AF3E20">
        <w:br/>
        <w:t xml:space="preserve">　全会計を対象とした赤字比率と資金の不足額の標準財政規模に対する比率</w:t>
      </w:r>
      <w:r w:rsidRPr="00AF3E20">
        <w:br/>
        <w:t>3. 実質公債費比率</w:t>
      </w:r>
      <w:r w:rsidRPr="00AF3E20">
        <w:br/>
        <w:t xml:space="preserve">　一般会計等が負担する元利償還金及び準元利償還金の標準財政規模に対する比率</w:t>
      </w:r>
      <w:r w:rsidRPr="00AF3E20">
        <w:br/>
        <w:t>4. 将来負担比率</w:t>
      </w:r>
      <w:r w:rsidRPr="00AF3E20">
        <w:br/>
        <w:t xml:space="preserve">　一般会計等が将来負担すべき実質的な負債の標準財政規模に対する比率</w:t>
      </w:r>
      <w:r w:rsidRPr="00AF3E20">
        <w:br/>
      </w:r>
    </w:p>
    <w:p w14:paraId="0D5ED4F9" w14:textId="77777777" w:rsidR="00BC12DA" w:rsidRDefault="00BC12DA" w:rsidP="002E3AFC">
      <w:pPr>
        <w:rPr>
          <w:sz w:val="16"/>
          <w:szCs w:val="16"/>
        </w:rPr>
      </w:pPr>
    </w:p>
    <w:p w14:paraId="3BB0F658" w14:textId="0EE7602B" w:rsidR="00BC12DA" w:rsidRPr="00BC12DA" w:rsidRDefault="00BC12DA" w:rsidP="002E3AFC">
      <w:pPr>
        <w:rPr>
          <w:b/>
          <w:bCs/>
        </w:rPr>
      </w:pPr>
      <w:r w:rsidRPr="00BC12DA">
        <w:rPr>
          <w:b/>
          <w:bCs/>
        </w:rPr>
        <w:t>資金不足比率</w:t>
      </w:r>
    </w:p>
    <w:tbl>
      <w:tblPr>
        <w:tblStyle w:val="ac"/>
        <w:tblW w:w="5000" w:type="pct"/>
        <w:tblLook w:val="04A0" w:firstRow="1" w:lastRow="0" w:firstColumn="1" w:lastColumn="0" w:noHBand="0" w:noVBand="1"/>
      </w:tblPr>
      <w:tblGrid>
        <w:gridCol w:w="2137"/>
        <w:gridCol w:w="2139"/>
        <w:gridCol w:w="2140"/>
        <w:gridCol w:w="2078"/>
      </w:tblGrid>
      <w:tr w:rsidR="00995594" w14:paraId="5EEA4C33" w14:textId="77777777" w:rsidTr="00995594">
        <w:tc>
          <w:tcPr>
            <w:tcW w:w="1258" w:type="pct"/>
          </w:tcPr>
          <w:p w14:paraId="7A6DCF00" w14:textId="77777777" w:rsidR="00995594" w:rsidRDefault="00995594" w:rsidP="00447404">
            <w:pPr>
              <w:rPr>
                <w:b/>
                <w:bCs/>
              </w:rPr>
            </w:pPr>
            <w:r>
              <w:rPr>
                <w:rFonts w:hint="eastAsia"/>
                <w:b/>
                <w:bCs/>
              </w:rPr>
              <w:t>年度</w:t>
            </w:r>
          </w:p>
        </w:tc>
        <w:tc>
          <w:tcPr>
            <w:tcW w:w="1259" w:type="pct"/>
          </w:tcPr>
          <w:p w14:paraId="61AB256A" w14:textId="54F4EB85" w:rsidR="00995594" w:rsidRPr="00BC12DA" w:rsidRDefault="00995594" w:rsidP="00447404">
            <w:pPr>
              <w:rPr>
                <w:b/>
                <w:bCs/>
                <w:sz w:val="16"/>
                <w:szCs w:val="16"/>
              </w:rPr>
            </w:pPr>
            <w:r>
              <w:rPr>
                <w:rFonts w:hint="eastAsia"/>
                <w:b/>
                <w:bCs/>
                <w:sz w:val="16"/>
                <w:szCs w:val="16"/>
              </w:rPr>
              <w:t>水道事業会計</w:t>
            </w:r>
          </w:p>
        </w:tc>
        <w:tc>
          <w:tcPr>
            <w:tcW w:w="1260" w:type="pct"/>
          </w:tcPr>
          <w:p w14:paraId="7DC73B6E" w14:textId="78498DA6" w:rsidR="00995594" w:rsidRPr="00BC12DA" w:rsidRDefault="00995594" w:rsidP="00447404">
            <w:pPr>
              <w:rPr>
                <w:b/>
                <w:bCs/>
                <w:sz w:val="16"/>
                <w:szCs w:val="16"/>
              </w:rPr>
            </w:pPr>
            <w:r>
              <w:rPr>
                <w:rFonts w:hint="eastAsia"/>
                <w:b/>
                <w:bCs/>
                <w:sz w:val="16"/>
                <w:szCs w:val="16"/>
              </w:rPr>
              <w:t>下水道事業特別会計</w:t>
            </w:r>
          </w:p>
        </w:tc>
        <w:tc>
          <w:tcPr>
            <w:tcW w:w="1223" w:type="pct"/>
          </w:tcPr>
          <w:p w14:paraId="5F3FE8B0" w14:textId="560A9B63" w:rsidR="00995594" w:rsidRPr="00BC12DA" w:rsidRDefault="00995594" w:rsidP="00447404">
            <w:pPr>
              <w:rPr>
                <w:b/>
                <w:bCs/>
                <w:sz w:val="16"/>
                <w:szCs w:val="16"/>
              </w:rPr>
            </w:pPr>
            <w:r>
              <w:rPr>
                <w:rFonts w:hint="eastAsia"/>
                <w:b/>
                <w:bCs/>
                <w:sz w:val="16"/>
                <w:szCs w:val="16"/>
              </w:rPr>
              <w:t>平山簡易水道特別会計</w:t>
            </w:r>
          </w:p>
        </w:tc>
      </w:tr>
      <w:tr w:rsidR="00BE095F" w14:paraId="65D26CCF" w14:textId="77777777" w:rsidTr="00995594">
        <w:tc>
          <w:tcPr>
            <w:tcW w:w="1258" w:type="pct"/>
          </w:tcPr>
          <w:p w14:paraId="016017BA" w14:textId="06E616A7" w:rsidR="00BE095F" w:rsidRDefault="00BE095F" w:rsidP="00BE095F">
            <w:pPr>
              <w:rPr>
                <w:rFonts w:hint="eastAsia"/>
                <w:b/>
                <w:bCs/>
              </w:rPr>
            </w:pPr>
            <w:r>
              <w:rPr>
                <w:rFonts w:hint="eastAsia"/>
                <w:b/>
                <w:bCs/>
              </w:rPr>
              <w:t>令和</w:t>
            </w:r>
            <w:r>
              <w:rPr>
                <w:rFonts w:hint="eastAsia"/>
                <w:b/>
                <w:bCs/>
              </w:rPr>
              <w:t>６</w:t>
            </w:r>
            <w:r>
              <w:rPr>
                <w:rFonts w:hint="eastAsia"/>
                <w:b/>
                <w:bCs/>
              </w:rPr>
              <w:t>年度</w:t>
            </w:r>
          </w:p>
        </w:tc>
        <w:tc>
          <w:tcPr>
            <w:tcW w:w="1259" w:type="pct"/>
          </w:tcPr>
          <w:p w14:paraId="5E7AE7AD" w14:textId="06601141" w:rsidR="00BE095F" w:rsidRDefault="00BE095F" w:rsidP="00BE095F">
            <w:pPr>
              <w:jc w:val="center"/>
              <w:rPr>
                <w:rFonts w:hint="eastAsia"/>
                <w:b/>
                <w:bCs/>
                <w:sz w:val="16"/>
                <w:szCs w:val="16"/>
              </w:rPr>
            </w:pPr>
            <w:r>
              <w:rPr>
                <w:rFonts w:hint="eastAsia"/>
                <w:b/>
                <w:bCs/>
              </w:rPr>
              <w:t>-</w:t>
            </w:r>
          </w:p>
        </w:tc>
        <w:tc>
          <w:tcPr>
            <w:tcW w:w="1260" w:type="pct"/>
          </w:tcPr>
          <w:p w14:paraId="2C16BF07" w14:textId="2E82ADD3" w:rsidR="00BE095F" w:rsidRDefault="00BE095F" w:rsidP="00BE095F">
            <w:pPr>
              <w:jc w:val="center"/>
              <w:rPr>
                <w:rFonts w:hint="eastAsia"/>
                <w:b/>
                <w:bCs/>
                <w:sz w:val="16"/>
                <w:szCs w:val="16"/>
              </w:rPr>
            </w:pPr>
            <w:r>
              <w:rPr>
                <w:rFonts w:hint="eastAsia"/>
                <w:b/>
                <w:bCs/>
              </w:rPr>
              <w:t>-</w:t>
            </w:r>
          </w:p>
        </w:tc>
        <w:tc>
          <w:tcPr>
            <w:tcW w:w="1223" w:type="pct"/>
          </w:tcPr>
          <w:p w14:paraId="7FAB330D" w14:textId="66534EDE" w:rsidR="00BE095F" w:rsidRDefault="00BE095F" w:rsidP="00BE095F">
            <w:pPr>
              <w:jc w:val="center"/>
              <w:rPr>
                <w:rFonts w:hint="eastAsia"/>
                <w:b/>
                <w:bCs/>
                <w:sz w:val="16"/>
                <w:szCs w:val="16"/>
              </w:rPr>
            </w:pPr>
            <w:r>
              <w:rPr>
                <w:rFonts w:hint="eastAsia"/>
                <w:b/>
                <w:bCs/>
              </w:rPr>
              <w:t>-</w:t>
            </w:r>
          </w:p>
        </w:tc>
      </w:tr>
      <w:tr w:rsidR="00995594" w14:paraId="0D68D45C" w14:textId="77777777" w:rsidTr="00995594">
        <w:tc>
          <w:tcPr>
            <w:tcW w:w="1258" w:type="pct"/>
          </w:tcPr>
          <w:p w14:paraId="5D7A2082" w14:textId="77777777" w:rsidR="00995594" w:rsidRDefault="00995594" w:rsidP="00995594">
            <w:pPr>
              <w:rPr>
                <w:b/>
                <w:bCs/>
              </w:rPr>
            </w:pPr>
            <w:r>
              <w:rPr>
                <w:rFonts w:hint="eastAsia"/>
                <w:b/>
                <w:bCs/>
              </w:rPr>
              <w:t>令和５年度</w:t>
            </w:r>
          </w:p>
        </w:tc>
        <w:tc>
          <w:tcPr>
            <w:tcW w:w="1259" w:type="pct"/>
          </w:tcPr>
          <w:p w14:paraId="313E0F37" w14:textId="77777777" w:rsidR="00995594" w:rsidRDefault="00995594" w:rsidP="00995594">
            <w:pPr>
              <w:jc w:val="center"/>
              <w:rPr>
                <w:b/>
                <w:bCs/>
              </w:rPr>
            </w:pPr>
            <w:r>
              <w:rPr>
                <w:rFonts w:hint="eastAsia"/>
                <w:b/>
                <w:bCs/>
              </w:rPr>
              <w:t>-</w:t>
            </w:r>
          </w:p>
        </w:tc>
        <w:tc>
          <w:tcPr>
            <w:tcW w:w="1260" w:type="pct"/>
          </w:tcPr>
          <w:p w14:paraId="34DA91B7" w14:textId="77777777" w:rsidR="00995594" w:rsidRDefault="00995594" w:rsidP="00995594">
            <w:pPr>
              <w:jc w:val="center"/>
              <w:rPr>
                <w:b/>
                <w:bCs/>
              </w:rPr>
            </w:pPr>
            <w:r>
              <w:rPr>
                <w:rFonts w:hint="eastAsia"/>
                <w:b/>
                <w:bCs/>
              </w:rPr>
              <w:t>-</w:t>
            </w:r>
          </w:p>
        </w:tc>
        <w:tc>
          <w:tcPr>
            <w:tcW w:w="1223" w:type="pct"/>
          </w:tcPr>
          <w:p w14:paraId="4014E010" w14:textId="58A5A007" w:rsidR="00995594" w:rsidRDefault="00995594" w:rsidP="00995594">
            <w:pPr>
              <w:jc w:val="center"/>
              <w:rPr>
                <w:b/>
                <w:bCs/>
              </w:rPr>
            </w:pPr>
            <w:r>
              <w:rPr>
                <w:rFonts w:hint="eastAsia"/>
                <w:b/>
                <w:bCs/>
              </w:rPr>
              <w:t>-</w:t>
            </w:r>
          </w:p>
        </w:tc>
      </w:tr>
      <w:tr w:rsidR="00995594" w14:paraId="670AB2D7" w14:textId="77777777" w:rsidTr="00995594">
        <w:tc>
          <w:tcPr>
            <w:tcW w:w="1258" w:type="pct"/>
          </w:tcPr>
          <w:p w14:paraId="09A78818" w14:textId="77777777" w:rsidR="00995594" w:rsidRDefault="00995594" w:rsidP="00995594">
            <w:pPr>
              <w:rPr>
                <w:b/>
                <w:bCs/>
              </w:rPr>
            </w:pPr>
            <w:r>
              <w:rPr>
                <w:rFonts w:hint="eastAsia"/>
                <w:b/>
                <w:bCs/>
              </w:rPr>
              <w:t>令和４年度</w:t>
            </w:r>
          </w:p>
        </w:tc>
        <w:tc>
          <w:tcPr>
            <w:tcW w:w="1259" w:type="pct"/>
          </w:tcPr>
          <w:p w14:paraId="7B1CBCCF" w14:textId="77777777" w:rsidR="00995594" w:rsidRDefault="00995594" w:rsidP="00995594">
            <w:pPr>
              <w:jc w:val="center"/>
              <w:rPr>
                <w:b/>
                <w:bCs/>
              </w:rPr>
            </w:pPr>
            <w:r>
              <w:rPr>
                <w:rFonts w:hint="eastAsia"/>
                <w:b/>
                <w:bCs/>
              </w:rPr>
              <w:t>-</w:t>
            </w:r>
          </w:p>
        </w:tc>
        <w:tc>
          <w:tcPr>
            <w:tcW w:w="1260" w:type="pct"/>
          </w:tcPr>
          <w:p w14:paraId="188444F7" w14:textId="77777777" w:rsidR="00995594" w:rsidRDefault="00995594" w:rsidP="00995594">
            <w:pPr>
              <w:jc w:val="center"/>
              <w:rPr>
                <w:b/>
                <w:bCs/>
              </w:rPr>
            </w:pPr>
            <w:r>
              <w:rPr>
                <w:rFonts w:hint="eastAsia"/>
                <w:b/>
                <w:bCs/>
              </w:rPr>
              <w:t>-</w:t>
            </w:r>
          </w:p>
        </w:tc>
        <w:tc>
          <w:tcPr>
            <w:tcW w:w="1223" w:type="pct"/>
          </w:tcPr>
          <w:p w14:paraId="255683A3" w14:textId="42766F42" w:rsidR="00995594" w:rsidRDefault="00995594" w:rsidP="00995594">
            <w:pPr>
              <w:jc w:val="center"/>
              <w:rPr>
                <w:b/>
                <w:bCs/>
              </w:rPr>
            </w:pPr>
            <w:r>
              <w:rPr>
                <w:rFonts w:hint="eastAsia"/>
                <w:b/>
                <w:bCs/>
              </w:rPr>
              <w:t>-</w:t>
            </w:r>
          </w:p>
        </w:tc>
      </w:tr>
      <w:tr w:rsidR="00995594" w14:paraId="7D7A90F1" w14:textId="77777777" w:rsidTr="00995594">
        <w:tc>
          <w:tcPr>
            <w:tcW w:w="1258" w:type="pct"/>
          </w:tcPr>
          <w:p w14:paraId="207BDDBE" w14:textId="77777777" w:rsidR="00995594" w:rsidRDefault="00995594" w:rsidP="00995594">
            <w:pPr>
              <w:rPr>
                <w:b/>
                <w:bCs/>
              </w:rPr>
            </w:pPr>
            <w:r>
              <w:rPr>
                <w:rFonts w:hint="eastAsia"/>
                <w:b/>
                <w:bCs/>
              </w:rPr>
              <w:t>令和３年度</w:t>
            </w:r>
          </w:p>
        </w:tc>
        <w:tc>
          <w:tcPr>
            <w:tcW w:w="1259" w:type="pct"/>
          </w:tcPr>
          <w:p w14:paraId="4AF68143" w14:textId="77777777" w:rsidR="00995594" w:rsidRDefault="00995594" w:rsidP="00995594">
            <w:pPr>
              <w:jc w:val="center"/>
              <w:rPr>
                <w:b/>
                <w:bCs/>
              </w:rPr>
            </w:pPr>
            <w:r>
              <w:rPr>
                <w:rFonts w:hint="eastAsia"/>
                <w:b/>
                <w:bCs/>
              </w:rPr>
              <w:t>-</w:t>
            </w:r>
          </w:p>
        </w:tc>
        <w:tc>
          <w:tcPr>
            <w:tcW w:w="1260" w:type="pct"/>
          </w:tcPr>
          <w:p w14:paraId="6DC9CCDD" w14:textId="77777777" w:rsidR="00995594" w:rsidRDefault="00995594" w:rsidP="00995594">
            <w:pPr>
              <w:jc w:val="center"/>
              <w:rPr>
                <w:b/>
                <w:bCs/>
              </w:rPr>
            </w:pPr>
            <w:r>
              <w:rPr>
                <w:rFonts w:hint="eastAsia"/>
                <w:b/>
                <w:bCs/>
              </w:rPr>
              <w:t>-</w:t>
            </w:r>
          </w:p>
        </w:tc>
        <w:tc>
          <w:tcPr>
            <w:tcW w:w="1223" w:type="pct"/>
          </w:tcPr>
          <w:p w14:paraId="71C53F35" w14:textId="404DAC0A" w:rsidR="00995594" w:rsidRDefault="00995594" w:rsidP="00995594">
            <w:pPr>
              <w:jc w:val="center"/>
              <w:rPr>
                <w:b/>
                <w:bCs/>
              </w:rPr>
            </w:pPr>
            <w:r>
              <w:rPr>
                <w:rFonts w:hint="eastAsia"/>
                <w:b/>
                <w:bCs/>
              </w:rPr>
              <w:t>-</w:t>
            </w:r>
          </w:p>
        </w:tc>
      </w:tr>
    </w:tbl>
    <w:p w14:paraId="2D4E1FAA" w14:textId="77777777" w:rsidR="00995594" w:rsidRDefault="00995594" w:rsidP="00AF3E20">
      <w:pPr>
        <w:rPr>
          <w:sz w:val="16"/>
          <w:szCs w:val="16"/>
        </w:rPr>
      </w:pPr>
    </w:p>
    <w:p w14:paraId="394C5B18" w14:textId="46CC1825" w:rsidR="00AF3E20" w:rsidRPr="00AF3E20" w:rsidRDefault="00AF3E20" w:rsidP="00AF3E20">
      <w:r w:rsidRPr="00AF3E20">
        <w:t xml:space="preserve">　公営企業ごとの資金の不足額の事業の規模に対する比率</w:t>
      </w:r>
      <w:r w:rsidRPr="00AF3E20">
        <w:br/>
        <w:t xml:space="preserve">　経営健全化基準(20％）以上となった場合には、経営健全化計画を定めなければなりません。</w:t>
      </w:r>
    </w:p>
    <w:p w14:paraId="51C51AFB" w14:textId="77777777" w:rsidR="00AF3E20" w:rsidRPr="00AF3E20" w:rsidRDefault="00AF3E20"/>
    <w:sectPr w:rsidR="00AF3E20" w:rsidRPr="00AF3E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57D22"/>
    <w:multiLevelType w:val="multilevel"/>
    <w:tmpl w:val="9AC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65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FC"/>
    <w:rsid w:val="001F74E9"/>
    <w:rsid w:val="002B1953"/>
    <w:rsid w:val="002D7C43"/>
    <w:rsid w:val="002E3AFC"/>
    <w:rsid w:val="0032630B"/>
    <w:rsid w:val="00803609"/>
    <w:rsid w:val="008B369E"/>
    <w:rsid w:val="00995594"/>
    <w:rsid w:val="00AF3E20"/>
    <w:rsid w:val="00BC12DA"/>
    <w:rsid w:val="00BE095F"/>
    <w:rsid w:val="00C833E3"/>
    <w:rsid w:val="00E50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8EA60E"/>
  <w15:chartTrackingRefBased/>
  <w15:docId w15:val="{F3E72611-3C79-45AB-B7B4-26474754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3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E3A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3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3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E3A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3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AFC"/>
    <w:pPr>
      <w:spacing w:before="160" w:after="160"/>
      <w:jc w:val="center"/>
    </w:pPr>
    <w:rPr>
      <w:i/>
      <w:iCs/>
      <w:color w:val="404040" w:themeColor="text1" w:themeTint="BF"/>
    </w:rPr>
  </w:style>
  <w:style w:type="character" w:customStyle="1" w:styleId="a8">
    <w:name w:val="引用文 (文字)"/>
    <w:basedOn w:val="a0"/>
    <w:link w:val="a7"/>
    <w:uiPriority w:val="29"/>
    <w:rsid w:val="002E3AFC"/>
    <w:rPr>
      <w:i/>
      <w:iCs/>
      <w:color w:val="404040" w:themeColor="text1" w:themeTint="BF"/>
    </w:rPr>
  </w:style>
  <w:style w:type="paragraph" w:styleId="a9">
    <w:name w:val="List Paragraph"/>
    <w:basedOn w:val="a"/>
    <w:uiPriority w:val="34"/>
    <w:qFormat/>
    <w:rsid w:val="002E3AFC"/>
    <w:pPr>
      <w:ind w:left="720"/>
      <w:contextualSpacing/>
    </w:pPr>
  </w:style>
  <w:style w:type="character" w:styleId="21">
    <w:name w:val="Intense Emphasis"/>
    <w:basedOn w:val="a0"/>
    <w:uiPriority w:val="21"/>
    <w:qFormat/>
    <w:rsid w:val="002E3AFC"/>
    <w:rPr>
      <w:i/>
      <w:iCs/>
      <w:color w:val="0F4761" w:themeColor="accent1" w:themeShade="BF"/>
    </w:rPr>
  </w:style>
  <w:style w:type="paragraph" w:styleId="22">
    <w:name w:val="Intense Quote"/>
    <w:basedOn w:val="a"/>
    <w:next w:val="a"/>
    <w:link w:val="23"/>
    <w:uiPriority w:val="30"/>
    <w:qFormat/>
    <w:rsid w:val="002E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3AFC"/>
    <w:rPr>
      <w:i/>
      <w:iCs/>
      <w:color w:val="0F4761" w:themeColor="accent1" w:themeShade="BF"/>
    </w:rPr>
  </w:style>
  <w:style w:type="character" w:styleId="24">
    <w:name w:val="Intense Reference"/>
    <w:basedOn w:val="a0"/>
    <w:uiPriority w:val="32"/>
    <w:qFormat/>
    <w:rsid w:val="002E3AFC"/>
    <w:rPr>
      <w:b/>
      <w:bCs/>
      <w:smallCaps/>
      <w:color w:val="0F4761" w:themeColor="accent1" w:themeShade="BF"/>
      <w:spacing w:val="5"/>
    </w:rPr>
  </w:style>
  <w:style w:type="character" w:styleId="aa">
    <w:name w:val="Hyperlink"/>
    <w:basedOn w:val="a0"/>
    <w:uiPriority w:val="99"/>
    <w:unhideWhenUsed/>
    <w:rsid w:val="002E3AFC"/>
    <w:rPr>
      <w:color w:val="467886" w:themeColor="hyperlink"/>
      <w:u w:val="single"/>
    </w:rPr>
  </w:style>
  <w:style w:type="character" w:styleId="ab">
    <w:name w:val="Unresolved Mention"/>
    <w:basedOn w:val="a0"/>
    <w:uiPriority w:val="99"/>
    <w:semiHidden/>
    <w:unhideWhenUsed/>
    <w:rsid w:val="002E3AFC"/>
    <w:rPr>
      <w:color w:val="605E5C"/>
      <w:shd w:val="clear" w:color="auto" w:fill="E1DFDD"/>
    </w:rPr>
  </w:style>
  <w:style w:type="table" w:styleId="ac">
    <w:name w:val="Table Grid"/>
    <w:basedOn w:val="a1"/>
    <w:uiPriority w:val="39"/>
    <w:rsid w:val="002B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584">
      <w:bodyDiv w:val="1"/>
      <w:marLeft w:val="0"/>
      <w:marRight w:val="0"/>
      <w:marTop w:val="0"/>
      <w:marBottom w:val="0"/>
      <w:divBdr>
        <w:top w:val="none" w:sz="0" w:space="0" w:color="auto"/>
        <w:left w:val="none" w:sz="0" w:space="0" w:color="auto"/>
        <w:bottom w:val="none" w:sz="0" w:space="0" w:color="auto"/>
        <w:right w:val="none" w:sz="0" w:space="0" w:color="auto"/>
      </w:divBdr>
      <w:divsChild>
        <w:div w:id="384069488">
          <w:marLeft w:val="0"/>
          <w:marRight w:val="0"/>
          <w:marTop w:val="0"/>
          <w:marBottom w:val="0"/>
          <w:divBdr>
            <w:top w:val="none" w:sz="0" w:space="0" w:color="auto"/>
            <w:left w:val="none" w:sz="0" w:space="0" w:color="auto"/>
            <w:bottom w:val="single" w:sz="6" w:space="0" w:color="000099"/>
            <w:right w:val="none" w:sz="0" w:space="0" w:color="auto"/>
          </w:divBdr>
          <w:divsChild>
            <w:div w:id="1315140615">
              <w:marLeft w:val="0"/>
              <w:marRight w:val="0"/>
              <w:marTop w:val="0"/>
              <w:marBottom w:val="0"/>
              <w:divBdr>
                <w:top w:val="none" w:sz="0" w:space="0" w:color="auto"/>
                <w:left w:val="none" w:sz="0" w:space="0" w:color="auto"/>
                <w:bottom w:val="none" w:sz="0" w:space="0" w:color="auto"/>
                <w:right w:val="none" w:sz="0" w:space="0" w:color="auto"/>
              </w:divBdr>
            </w:div>
            <w:div w:id="1667005946">
              <w:marLeft w:val="0"/>
              <w:marRight w:val="0"/>
              <w:marTop w:val="0"/>
              <w:marBottom w:val="0"/>
              <w:divBdr>
                <w:top w:val="none" w:sz="0" w:space="0" w:color="auto"/>
                <w:left w:val="none" w:sz="0" w:space="0" w:color="auto"/>
                <w:bottom w:val="none" w:sz="0" w:space="0" w:color="auto"/>
                <w:right w:val="none" w:sz="0" w:space="0" w:color="auto"/>
              </w:divBdr>
            </w:div>
          </w:divsChild>
        </w:div>
        <w:div w:id="78060946">
          <w:marLeft w:val="0"/>
          <w:marRight w:val="0"/>
          <w:marTop w:val="0"/>
          <w:marBottom w:val="0"/>
          <w:divBdr>
            <w:top w:val="none" w:sz="0" w:space="0" w:color="auto"/>
            <w:left w:val="none" w:sz="0" w:space="0" w:color="auto"/>
            <w:bottom w:val="none" w:sz="0" w:space="0" w:color="auto"/>
            <w:right w:val="none" w:sz="0" w:space="0" w:color="auto"/>
          </w:divBdr>
          <w:divsChild>
            <w:div w:id="507063436">
              <w:marLeft w:val="0"/>
              <w:marRight w:val="0"/>
              <w:marTop w:val="0"/>
              <w:marBottom w:val="0"/>
              <w:divBdr>
                <w:top w:val="none" w:sz="0" w:space="0" w:color="auto"/>
                <w:left w:val="none" w:sz="0" w:space="0" w:color="auto"/>
                <w:bottom w:val="none" w:sz="0" w:space="0" w:color="auto"/>
                <w:right w:val="none" w:sz="0" w:space="0" w:color="auto"/>
              </w:divBdr>
              <w:divsChild>
                <w:div w:id="10562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4356">
      <w:bodyDiv w:val="1"/>
      <w:marLeft w:val="0"/>
      <w:marRight w:val="0"/>
      <w:marTop w:val="0"/>
      <w:marBottom w:val="0"/>
      <w:divBdr>
        <w:top w:val="none" w:sz="0" w:space="0" w:color="auto"/>
        <w:left w:val="none" w:sz="0" w:space="0" w:color="auto"/>
        <w:bottom w:val="none" w:sz="0" w:space="0" w:color="auto"/>
        <w:right w:val="none" w:sz="0" w:space="0" w:color="auto"/>
      </w:divBdr>
      <w:divsChild>
        <w:div w:id="883716596">
          <w:marLeft w:val="0"/>
          <w:marRight w:val="0"/>
          <w:marTop w:val="300"/>
          <w:marBottom w:val="0"/>
          <w:divBdr>
            <w:top w:val="none" w:sz="0" w:space="0" w:color="auto"/>
            <w:left w:val="none" w:sz="0" w:space="0" w:color="auto"/>
            <w:bottom w:val="none" w:sz="0" w:space="0" w:color="auto"/>
            <w:right w:val="none" w:sz="0" w:space="0" w:color="auto"/>
          </w:divBdr>
          <w:divsChild>
            <w:div w:id="1456169682">
              <w:marLeft w:val="0"/>
              <w:marRight w:val="0"/>
              <w:marTop w:val="0"/>
              <w:marBottom w:val="0"/>
              <w:divBdr>
                <w:top w:val="none" w:sz="0" w:space="0" w:color="auto"/>
                <w:left w:val="none" w:sz="0" w:space="0" w:color="auto"/>
                <w:bottom w:val="none" w:sz="0" w:space="0" w:color="auto"/>
                <w:right w:val="none" w:sz="0" w:space="0" w:color="auto"/>
              </w:divBdr>
              <w:divsChild>
                <w:div w:id="571475427">
                  <w:marLeft w:val="0"/>
                  <w:marRight w:val="0"/>
                  <w:marTop w:val="0"/>
                  <w:marBottom w:val="0"/>
                  <w:divBdr>
                    <w:top w:val="none" w:sz="0" w:space="0" w:color="auto"/>
                    <w:left w:val="none" w:sz="0" w:space="0" w:color="auto"/>
                    <w:bottom w:val="none" w:sz="0" w:space="0" w:color="auto"/>
                    <w:right w:val="none" w:sz="0" w:space="0" w:color="auto"/>
                  </w:divBdr>
                  <w:divsChild>
                    <w:div w:id="12367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5760">
          <w:marLeft w:val="0"/>
          <w:marRight w:val="0"/>
          <w:marTop w:val="0"/>
          <w:marBottom w:val="0"/>
          <w:divBdr>
            <w:top w:val="none" w:sz="0" w:space="0" w:color="auto"/>
            <w:left w:val="none" w:sz="0" w:space="0" w:color="auto"/>
            <w:bottom w:val="none" w:sz="0" w:space="0" w:color="auto"/>
            <w:right w:val="none" w:sz="0" w:space="0" w:color="auto"/>
          </w:divBdr>
          <w:divsChild>
            <w:div w:id="1027367070">
              <w:marLeft w:val="0"/>
              <w:marRight w:val="0"/>
              <w:marTop w:val="0"/>
              <w:marBottom w:val="0"/>
              <w:divBdr>
                <w:top w:val="none" w:sz="0" w:space="0" w:color="auto"/>
                <w:left w:val="none" w:sz="0" w:space="0" w:color="auto"/>
                <w:bottom w:val="none" w:sz="0" w:space="0" w:color="auto"/>
                <w:right w:val="none" w:sz="0" w:space="0" w:color="auto"/>
              </w:divBdr>
              <w:divsChild>
                <w:div w:id="1953783499">
                  <w:marLeft w:val="0"/>
                  <w:marRight w:val="0"/>
                  <w:marTop w:val="0"/>
                  <w:marBottom w:val="0"/>
                  <w:divBdr>
                    <w:top w:val="none" w:sz="0" w:space="0" w:color="auto"/>
                    <w:left w:val="none" w:sz="0" w:space="0" w:color="auto"/>
                    <w:bottom w:val="none" w:sz="0" w:space="0" w:color="auto"/>
                    <w:right w:val="none" w:sz="0" w:space="0" w:color="auto"/>
                  </w:divBdr>
                  <w:divsChild>
                    <w:div w:id="1118990743">
                      <w:marLeft w:val="0"/>
                      <w:marRight w:val="0"/>
                      <w:marTop w:val="0"/>
                      <w:marBottom w:val="0"/>
                      <w:divBdr>
                        <w:top w:val="none" w:sz="0" w:space="0" w:color="auto"/>
                        <w:left w:val="none" w:sz="0" w:space="0" w:color="auto"/>
                        <w:bottom w:val="none" w:sz="0" w:space="0" w:color="auto"/>
                        <w:right w:val="none" w:sz="0" w:space="0" w:color="auto"/>
                      </w:divBdr>
                      <w:divsChild>
                        <w:div w:id="889802659">
                          <w:marLeft w:val="0"/>
                          <w:marRight w:val="0"/>
                          <w:marTop w:val="150"/>
                          <w:marBottom w:val="0"/>
                          <w:divBdr>
                            <w:top w:val="none" w:sz="0" w:space="0" w:color="auto"/>
                            <w:left w:val="none" w:sz="0" w:space="0" w:color="auto"/>
                            <w:bottom w:val="none" w:sz="0" w:space="0" w:color="auto"/>
                            <w:right w:val="none" w:sz="0" w:space="0" w:color="auto"/>
                          </w:divBdr>
                        </w:div>
                      </w:divsChild>
                    </w:div>
                    <w:div w:id="1378121265">
                      <w:marLeft w:val="0"/>
                      <w:marRight w:val="0"/>
                      <w:marTop w:val="0"/>
                      <w:marBottom w:val="0"/>
                      <w:divBdr>
                        <w:top w:val="none" w:sz="0" w:space="0" w:color="auto"/>
                        <w:left w:val="none" w:sz="0" w:space="0" w:color="auto"/>
                        <w:bottom w:val="none" w:sz="0" w:space="0" w:color="auto"/>
                        <w:right w:val="none" w:sz="0" w:space="0" w:color="auto"/>
                      </w:divBdr>
                    </w:div>
                    <w:div w:id="1840658189">
                      <w:marLeft w:val="0"/>
                      <w:marRight w:val="0"/>
                      <w:marTop w:val="0"/>
                      <w:marBottom w:val="0"/>
                      <w:divBdr>
                        <w:top w:val="none" w:sz="0" w:space="0" w:color="auto"/>
                        <w:left w:val="none" w:sz="0" w:space="0" w:color="auto"/>
                        <w:bottom w:val="none" w:sz="0" w:space="0" w:color="auto"/>
                        <w:right w:val="none" w:sz="0" w:space="0" w:color="auto"/>
                      </w:divBdr>
                    </w:div>
                    <w:div w:id="3697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5738">
      <w:bodyDiv w:val="1"/>
      <w:marLeft w:val="0"/>
      <w:marRight w:val="0"/>
      <w:marTop w:val="0"/>
      <w:marBottom w:val="0"/>
      <w:divBdr>
        <w:top w:val="none" w:sz="0" w:space="0" w:color="auto"/>
        <w:left w:val="none" w:sz="0" w:space="0" w:color="auto"/>
        <w:bottom w:val="none" w:sz="0" w:space="0" w:color="auto"/>
        <w:right w:val="none" w:sz="0" w:space="0" w:color="auto"/>
      </w:divBdr>
      <w:divsChild>
        <w:div w:id="528183189">
          <w:marLeft w:val="0"/>
          <w:marRight w:val="0"/>
          <w:marTop w:val="300"/>
          <w:marBottom w:val="0"/>
          <w:divBdr>
            <w:top w:val="none" w:sz="0" w:space="0" w:color="auto"/>
            <w:left w:val="none" w:sz="0" w:space="0" w:color="auto"/>
            <w:bottom w:val="none" w:sz="0" w:space="0" w:color="auto"/>
            <w:right w:val="none" w:sz="0" w:space="0" w:color="auto"/>
          </w:divBdr>
          <w:divsChild>
            <w:div w:id="1837110201">
              <w:marLeft w:val="0"/>
              <w:marRight w:val="0"/>
              <w:marTop w:val="0"/>
              <w:marBottom w:val="0"/>
              <w:divBdr>
                <w:top w:val="none" w:sz="0" w:space="0" w:color="auto"/>
                <w:left w:val="none" w:sz="0" w:space="0" w:color="auto"/>
                <w:bottom w:val="none" w:sz="0" w:space="0" w:color="auto"/>
                <w:right w:val="none" w:sz="0" w:space="0" w:color="auto"/>
              </w:divBdr>
              <w:divsChild>
                <w:div w:id="1867014891">
                  <w:marLeft w:val="0"/>
                  <w:marRight w:val="0"/>
                  <w:marTop w:val="0"/>
                  <w:marBottom w:val="0"/>
                  <w:divBdr>
                    <w:top w:val="none" w:sz="0" w:space="0" w:color="auto"/>
                    <w:left w:val="none" w:sz="0" w:space="0" w:color="auto"/>
                    <w:bottom w:val="none" w:sz="0" w:space="0" w:color="auto"/>
                    <w:right w:val="none" w:sz="0" w:space="0" w:color="auto"/>
                  </w:divBdr>
                  <w:divsChild>
                    <w:div w:id="12361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60994">
          <w:marLeft w:val="0"/>
          <w:marRight w:val="0"/>
          <w:marTop w:val="0"/>
          <w:marBottom w:val="0"/>
          <w:divBdr>
            <w:top w:val="none" w:sz="0" w:space="0" w:color="auto"/>
            <w:left w:val="none" w:sz="0" w:space="0" w:color="auto"/>
            <w:bottom w:val="none" w:sz="0" w:space="0" w:color="auto"/>
            <w:right w:val="none" w:sz="0" w:space="0" w:color="auto"/>
          </w:divBdr>
          <w:divsChild>
            <w:div w:id="1770616136">
              <w:marLeft w:val="0"/>
              <w:marRight w:val="0"/>
              <w:marTop w:val="0"/>
              <w:marBottom w:val="0"/>
              <w:divBdr>
                <w:top w:val="none" w:sz="0" w:space="0" w:color="auto"/>
                <w:left w:val="none" w:sz="0" w:space="0" w:color="auto"/>
                <w:bottom w:val="none" w:sz="0" w:space="0" w:color="auto"/>
                <w:right w:val="none" w:sz="0" w:space="0" w:color="auto"/>
              </w:divBdr>
              <w:divsChild>
                <w:div w:id="1869755592">
                  <w:marLeft w:val="0"/>
                  <w:marRight w:val="0"/>
                  <w:marTop w:val="0"/>
                  <w:marBottom w:val="0"/>
                  <w:divBdr>
                    <w:top w:val="none" w:sz="0" w:space="0" w:color="auto"/>
                    <w:left w:val="none" w:sz="0" w:space="0" w:color="auto"/>
                    <w:bottom w:val="none" w:sz="0" w:space="0" w:color="auto"/>
                    <w:right w:val="none" w:sz="0" w:space="0" w:color="auto"/>
                  </w:divBdr>
                  <w:divsChild>
                    <w:div w:id="1376464054">
                      <w:marLeft w:val="0"/>
                      <w:marRight w:val="0"/>
                      <w:marTop w:val="0"/>
                      <w:marBottom w:val="0"/>
                      <w:divBdr>
                        <w:top w:val="none" w:sz="0" w:space="0" w:color="auto"/>
                        <w:left w:val="none" w:sz="0" w:space="0" w:color="auto"/>
                        <w:bottom w:val="none" w:sz="0" w:space="0" w:color="auto"/>
                        <w:right w:val="none" w:sz="0" w:space="0" w:color="auto"/>
                      </w:divBdr>
                      <w:divsChild>
                        <w:div w:id="679551511">
                          <w:marLeft w:val="0"/>
                          <w:marRight w:val="0"/>
                          <w:marTop w:val="150"/>
                          <w:marBottom w:val="0"/>
                          <w:divBdr>
                            <w:top w:val="none" w:sz="0" w:space="0" w:color="auto"/>
                            <w:left w:val="none" w:sz="0" w:space="0" w:color="auto"/>
                            <w:bottom w:val="none" w:sz="0" w:space="0" w:color="auto"/>
                            <w:right w:val="none" w:sz="0" w:space="0" w:color="auto"/>
                          </w:divBdr>
                        </w:div>
                      </w:divsChild>
                    </w:div>
                    <w:div w:id="1284194213">
                      <w:marLeft w:val="0"/>
                      <w:marRight w:val="0"/>
                      <w:marTop w:val="0"/>
                      <w:marBottom w:val="0"/>
                      <w:divBdr>
                        <w:top w:val="none" w:sz="0" w:space="0" w:color="auto"/>
                        <w:left w:val="none" w:sz="0" w:space="0" w:color="auto"/>
                        <w:bottom w:val="none" w:sz="0" w:space="0" w:color="auto"/>
                        <w:right w:val="none" w:sz="0" w:space="0" w:color="auto"/>
                      </w:divBdr>
                    </w:div>
                    <w:div w:id="846092674">
                      <w:marLeft w:val="0"/>
                      <w:marRight w:val="0"/>
                      <w:marTop w:val="0"/>
                      <w:marBottom w:val="0"/>
                      <w:divBdr>
                        <w:top w:val="none" w:sz="0" w:space="0" w:color="auto"/>
                        <w:left w:val="none" w:sz="0" w:space="0" w:color="auto"/>
                        <w:bottom w:val="none" w:sz="0" w:space="0" w:color="auto"/>
                        <w:right w:val="none" w:sz="0" w:space="0" w:color="auto"/>
                      </w:divBdr>
                    </w:div>
                    <w:div w:id="16891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924">
      <w:bodyDiv w:val="1"/>
      <w:marLeft w:val="0"/>
      <w:marRight w:val="0"/>
      <w:marTop w:val="0"/>
      <w:marBottom w:val="0"/>
      <w:divBdr>
        <w:top w:val="none" w:sz="0" w:space="0" w:color="auto"/>
        <w:left w:val="none" w:sz="0" w:space="0" w:color="auto"/>
        <w:bottom w:val="none" w:sz="0" w:space="0" w:color="auto"/>
        <w:right w:val="none" w:sz="0" w:space="0" w:color="auto"/>
      </w:divBdr>
      <w:divsChild>
        <w:div w:id="162155">
          <w:marLeft w:val="0"/>
          <w:marRight w:val="0"/>
          <w:marTop w:val="0"/>
          <w:marBottom w:val="0"/>
          <w:divBdr>
            <w:top w:val="none" w:sz="0" w:space="0" w:color="auto"/>
            <w:left w:val="none" w:sz="0" w:space="0" w:color="auto"/>
            <w:bottom w:val="single" w:sz="6" w:space="0" w:color="000099"/>
            <w:right w:val="none" w:sz="0" w:space="0" w:color="auto"/>
          </w:divBdr>
          <w:divsChild>
            <w:div w:id="203717228">
              <w:marLeft w:val="0"/>
              <w:marRight w:val="0"/>
              <w:marTop w:val="0"/>
              <w:marBottom w:val="0"/>
              <w:divBdr>
                <w:top w:val="none" w:sz="0" w:space="0" w:color="auto"/>
                <w:left w:val="none" w:sz="0" w:space="0" w:color="auto"/>
                <w:bottom w:val="none" w:sz="0" w:space="0" w:color="auto"/>
                <w:right w:val="none" w:sz="0" w:space="0" w:color="auto"/>
              </w:divBdr>
            </w:div>
            <w:div w:id="857501874">
              <w:marLeft w:val="0"/>
              <w:marRight w:val="0"/>
              <w:marTop w:val="0"/>
              <w:marBottom w:val="0"/>
              <w:divBdr>
                <w:top w:val="none" w:sz="0" w:space="0" w:color="auto"/>
                <w:left w:val="none" w:sz="0" w:space="0" w:color="auto"/>
                <w:bottom w:val="none" w:sz="0" w:space="0" w:color="auto"/>
                <w:right w:val="none" w:sz="0" w:space="0" w:color="auto"/>
              </w:divBdr>
            </w:div>
          </w:divsChild>
        </w:div>
        <w:div w:id="1155411044">
          <w:marLeft w:val="0"/>
          <w:marRight w:val="0"/>
          <w:marTop w:val="0"/>
          <w:marBottom w:val="0"/>
          <w:divBdr>
            <w:top w:val="none" w:sz="0" w:space="0" w:color="auto"/>
            <w:left w:val="none" w:sz="0" w:space="0" w:color="auto"/>
            <w:bottom w:val="none" w:sz="0" w:space="0" w:color="auto"/>
            <w:right w:val="none" w:sz="0" w:space="0" w:color="auto"/>
          </w:divBdr>
          <w:divsChild>
            <w:div w:id="1758137563">
              <w:marLeft w:val="0"/>
              <w:marRight w:val="0"/>
              <w:marTop w:val="0"/>
              <w:marBottom w:val="0"/>
              <w:divBdr>
                <w:top w:val="none" w:sz="0" w:space="0" w:color="auto"/>
                <w:left w:val="none" w:sz="0" w:space="0" w:color="auto"/>
                <w:bottom w:val="none" w:sz="0" w:space="0" w:color="auto"/>
                <w:right w:val="none" w:sz="0" w:space="0" w:color="auto"/>
              </w:divBdr>
              <w:divsChild>
                <w:div w:id="5190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大森貴雄</dc:creator>
  <cp:keywords/>
  <dc:description/>
  <cp:lastModifiedBy>大森貴雄</cp:lastModifiedBy>
  <cp:revision>5</cp:revision>
  <dcterms:created xsi:type="dcterms:W3CDTF">2024-10-23T08:11:00Z</dcterms:created>
  <dcterms:modified xsi:type="dcterms:W3CDTF">2025-10-14T00:18:00Z</dcterms:modified>
</cp:coreProperties>
</file>